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83" w:rsidRPr="00755330" w:rsidRDefault="00765283" w:rsidP="00912033">
      <w:pPr>
        <w:jc w:val="center"/>
        <w:rPr>
          <w:sz w:val="28"/>
          <w:szCs w:val="28"/>
        </w:rPr>
      </w:pPr>
      <w:r w:rsidRPr="0038018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7" o:title=""/>
          </v:shape>
        </w:pict>
      </w:r>
    </w:p>
    <w:p w:rsidR="00765283" w:rsidRPr="00755330" w:rsidRDefault="00765283" w:rsidP="00912033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РОССИЙСКАЯ  ФЕДЕРАЦИЯ</w:t>
      </w:r>
    </w:p>
    <w:p w:rsidR="00765283" w:rsidRPr="00755330" w:rsidRDefault="00765283" w:rsidP="00912033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РЕСПУБЛИКА  КАРЕЛИЯ</w:t>
      </w:r>
    </w:p>
    <w:p w:rsidR="00765283" w:rsidRDefault="00765283" w:rsidP="00912033">
      <w:pPr>
        <w:jc w:val="center"/>
        <w:rPr>
          <w:sz w:val="28"/>
          <w:szCs w:val="28"/>
        </w:rPr>
      </w:pPr>
    </w:p>
    <w:p w:rsidR="00765283" w:rsidRPr="00755330" w:rsidRDefault="00765283" w:rsidP="00912033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t>Совет Шуньгского сельского поселения</w:t>
      </w:r>
    </w:p>
    <w:p w:rsidR="00765283" w:rsidRDefault="00765283" w:rsidP="00912033">
      <w:pPr>
        <w:jc w:val="center"/>
        <w:rPr>
          <w:sz w:val="28"/>
          <w:szCs w:val="28"/>
        </w:rPr>
      </w:pPr>
    </w:p>
    <w:p w:rsidR="00765283" w:rsidRPr="00755330" w:rsidRDefault="00765283" w:rsidP="0091203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XXIX </w:t>
      </w:r>
      <w:r w:rsidRPr="00755330">
        <w:rPr>
          <w:sz w:val="28"/>
          <w:szCs w:val="28"/>
        </w:rPr>
        <w:t xml:space="preserve">сессия  </w:t>
      </w:r>
      <w:r w:rsidRPr="00755330">
        <w:rPr>
          <w:sz w:val="28"/>
          <w:szCs w:val="28"/>
          <w:lang w:val="en-US"/>
        </w:rPr>
        <w:t>IV</w:t>
      </w:r>
      <w:r w:rsidRPr="00755330">
        <w:rPr>
          <w:sz w:val="28"/>
          <w:szCs w:val="28"/>
        </w:rPr>
        <w:t xml:space="preserve"> созыва</w:t>
      </w:r>
    </w:p>
    <w:p w:rsidR="00765283" w:rsidRDefault="00765283" w:rsidP="00912033">
      <w:pPr>
        <w:jc w:val="center"/>
        <w:rPr>
          <w:b/>
          <w:sz w:val="28"/>
          <w:szCs w:val="28"/>
        </w:rPr>
      </w:pPr>
    </w:p>
    <w:p w:rsidR="00765283" w:rsidRPr="00755330" w:rsidRDefault="00765283" w:rsidP="00912033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РЕШЕНИЕ</w:t>
      </w:r>
    </w:p>
    <w:p w:rsidR="00765283" w:rsidRPr="00755330" w:rsidRDefault="00765283" w:rsidP="00912033">
      <w:pPr>
        <w:rPr>
          <w:b/>
          <w:sz w:val="28"/>
          <w:szCs w:val="28"/>
        </w:rPr>
      </w:pPr>
    </w:p>
    <w:p w:rsidR="00765283" w:rsidRPr="00755330" w:rsidRDefault="00765283" w:rsidP="00912033">
      <w:pPr>
        <w:rPr>
          <w:sz w:val="28"/>
          <w:szCs w:val="28"/>
        </w:rPr>
      </w:pPr>
      <w:r w:rsidRPr="0075533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июня </w:t>
      </w:r>
      <w:r w:rsidRPr="0075533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55330">
        <w:rPr>
          <w:sz w:val="28"/>
          <w:szCs w:val="28"/>
        </w:rPr>
        <w:t xml:space="preserve">  г.  № </w:t>
      </w:r>
      <w:r>
        <w:rPr>
          <w:sz w:val="28"/>
          <w:szCs w:val="28"/>
        </w:rPr>
        <w:t>138</w:t>
      </w:r>
      <w:r w:rsidRPr="00755330">
        <w:rPr>
          <w:sz w:val="28"/>
          <w:szCs w:val="28"/>
        </w:rPr>
        <w:t xml:space="preserve">                                                        д. Шуньга</w:t>
      </w:r>
    </w:p>
    <w:p w:rsidR="00765283" w:rsidRDefault="00765283" w:rsidP="00545793">
      <w:pPr>
        <w:widowControl w:val="0"/>
        <w:jc w:val="right"/>
        <w:rPr>
          <w:b/>
          <w:color w:val="000000"/>
          <w:w w:val="80"/>
          <w:sz w:val="28"/>
          <w:szCs w:val="28"/>
        </w:rPr>
      </w:pPr>
    </w:p>
    <w:p w:rsidR="00765283" w:rsidRPr="00912033" w:rsidRDefault="00765283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912033">
        <w:rPr>
          <w:b/>
          <w:color w:val="000000"/>
          <w:w w:val="80"/>
          <w:sz w:val="28"/>
          <w:szCs w:val="28"/>
        </w:rPr>
        <w:t xml:space="preserve">                             </w:t>
      </w:r>
    </w:p>
    <w:tbl>
      <w:tblPr>
        <w:tblW w:w="0" w:type="auto"/>
        <w:tblLook w:val="01E0"/>
      </w:tblPr>
      <w:tblGrid>
        <w:gridCol w:w="6204"/>
      </w:tblGrid>
      <w:tr w:rsidR="00765283" w:rsidRPr="00E32D98" w:rsidTr="003E6072">
        <w:tc>
          <w:tcPr>
            <w:tcW w:w="6204" w:type="dxa"/>
          </w:tcPr>
          <w:p w:rsidR="00765283" w:rsidRPr="00E32D98" w:rsidRDefault="00765283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765283" w:rsidRPr="00E32D98" w:rsidRDefault="00765283" w:rsidP="003E6072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>муниципальному контрол</w:t>
            </w:r>
            <w:bookmarkEnd w:id="0"/>
            <w:r w:rsidRPr="00E32D98">
              <w:rPr>
                <w:b/>
                <w:w w:val="80"/>
                <w:sz w:val="28"/>
                <w:szCs w:val="28"/>
              </w:rPr>
              <w:t xml:space="preserve">ю </w:t>
            </w:r>
            <w:r w:rsidRPr="00E32D98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>
              <w:rPr>
                <w:b/>
                <w:color w:val="000000"/>
                <w:spacing w:val="2"/>
                <w:w w:val="80"/>
                <w:sz w:val="28"/>
                <w:szCs w:val="28"/>
              </w:rPr>
              <w:t>Шуньгск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ом </w:t>
            </w:r>
            <w:r>
              <w:rPr>
                <w:b/>
                <w:color w:val="000000"/>
                <w:spacing w:val="2"/>
                <w:w w:val="80"/>
                <w:sz w:val="28"/>
                <w:szCs w:val="28"/>
              </w:rPr>
              <w:t>сель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>ском поселении</w:t>
            </w:r>
          </w:p>
        </w:tc>
      </w:tr>
    </w:tbl>
    <w:p w:rsidR="00765283" w:rsidRPr="00E32D98" w:rsidRDefault="00765283" w:rsidP="004E130A">
      <w:pPr>
        <w:pStyle w:val="BodyText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765283" w:rsidRPr="00E32D98" w:rsidRDefault="00765283" w:rsidP="004E130A">
      <w:pPr>
        <w:pStyle w:val="BodyText"/>
        <w:ind w:right="-1"/>
        <w:rPr>
          <w:rFonts w:ascii="Times New Roman" w:hAnsi="Times New Roman"/>
          <w:szCs w:val="24"/>
        </w:rPr>
      </w:pPr>
    </w:p>
    <w:p w:rsidR="00765283" w:rsidRPr="00E32D98" w:rsidRDefault="00765283" w:rsidP="004E130A">
      <w:pPr>
        <w:pStyle w:val="NormalWeb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r>
        <w:rPr>
          <w:w w:val="80"/>
          <w:sz w:val="28"/>
          <w:szCs w:val="28"/>
        </w:rPr>
        <w:t>Шуньгского сельского поселения</w:t>
      </w:r>
      <w:r w:rsidRPr="004C2F84">
        <w:rPr>
          <w:w w:val="80"/>
          <w:sz w:val="28"/>
          <w:szCs w:val="28"/>
        </w:rPr>
        <w:t xml:space="preserve">, Совет </w:t>
      </w:r>
      <w:r>
        <w:rPr>
          <w:w w:val="80"/>
          <w:sz w:val="28"/>
          <w:szCs w:val="28"/>
        </w:rPr>
        <w:t>Шуньгского сельского поселения</w:t>
      </w:r>
    </w:p>
    <w:p w:rsidR="00765283" w:rsidRPr="00E32D98" w:rsidRDefault="00765283" w:rsidP="004E130A">
      <w:pPr>
        <w:suppressAutoHyphens/>
        <w:ind w:left="1134"/>
        <w:jc w:val="both"/>
      </w:pPr>
      <w:r w:rsidRPr="00E32D98">
        <w:t xml:space="preserve"> </w:t>
      </w:r>
    </w:p>
    <w:p w:rsidR="00765283" w:rsidRPr="00E32D98" w:rsidRDefault="00765283" w:rsidP="004E130A">
      <w:pPr>
        <w:pStyle w:val="Heading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765283" w:rsidRPr="00E32D98" w:rsidRDefault="00765283" w:rsidP="004E130A"/>
    <w:p w:rsidR="00765283" w:rsidRPr="00E32D98" w:rsidRDefault="00765283" w:rsidP="004E130A">
      <w:pPr>
        <w:pStyle w:val="BodyText"/>
        <w:suppressAutoHyphens/>
        <w:ind w:left="1134" w:right="0"/>
        <w:rPr>
          <w:rFonts w:ascii="Times New Roman" w:hAnsi="Times New Roman"/>
          <w:szCs w:val="24"/>
        </w:rPr>
      </w:pPr>
    </w:p>
    <w:p w:rsidR="00765283" w:rsidRPr="00E32D98" w:rsidRDefault="00765283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муниципальному </w:t>
      </w:r>
      <w:r w:rsidRPr="00E32D98">
        <w:rPr>
          <w:w w:val="80"/>
          <w:sz w:val="28"/>
          <w:szCs w:val="28"/>
        </w:rPr>
        <w:t xml:space="preserve">контролю </w:t>
      </w:r>
      <w:r w:rsidRPr="00E32D98">
        <w:rPr>
          <w:color w:val="000000"/>
          <w:spacing w:val="2"/>
          <w:w w:val="8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color w:val="000000"/>
          <w:spacing w:val="2"/>
          <w:w w:val="80"/>
          <w:sz w:val="28"/>
          <w:szCs w:val="28"/>
        </w:rPr>
        <w:t>Шуньгском сельском</w:t>
      </w:r>
      <w:r w:rsidRPr="004E130A">
        <w:rPr>
          <w:w w:val="80"/>
          <w:sz w:val="28"/>
          <w:szCs w:val="28"/>
        </w:rPr>
        <w:t xml:space="preserve"> поселении</w:t>
      </w:r>
      <w:r w:rsidRPr="00E32D98">
        <w:rPr>
          <w:color w:val="000000"/>
          <w:w w:val="80"/>
          <w:sz w:val="28"/>
          <w:szCs w:val="28"/>
        </w:rPr>
        <w:t>.</w:t>
      </w:r>
    </w:p>
    <w:p w:rsidR="00765283" w:rsidRDefault="00765283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с 01 марта 2022 года.  </w:t>
      </w:r>
    </w:p>
    <w:p w:rsidR="00765283" w:rsidRDefault="00765283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765283" w:rsidRDefault="00765283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>Председатель Совета Шуньгского сельского поселения                              О.Я.Андрианова</w:t>
      </w:r>
    </w:p>
    <w:p w:rsidR="00765283" w:rsidRDefault="00765283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765283" w:rsidRPr="00E32D98" w:rsidRDefault="00765283" w:rsidP="004E130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Глава Шуньгского сельского поселения                                                        Л.В.Журавлева</w:t>
      </w:r>
    </w:p>
    <w:p w:rsidR="00765283" w:rsidRPr="00E32D98" w:rsidRDefault="0076528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765283" w:rsidRDefault="0076528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765283" w:rsidRPr="00F80D4A" w:rsidRDefault="00765283" w:rsidP="00E35478"/>
    <w:p w:rsidR="00765283" w:rsidRPr="00E32D98" w:rsidRDefault="00765283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765283" w:rsidRDefault="00765283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bookmarkStart w:id="1" w:name="_GoBack"/>
      <w:bookmarkEnd w:id="1"/>
      <w:r>
        <w:rPr>
          <w:color w:val="000000"/>
          <w:w w:val="80"/>
          <w:sz w:val="28"/>
          <w:szCs w:val="28"/>
        </w:rPr>
        <w:br w:type="column"/>
      </w:r>
    </w:p>
    <w:p w:rsidR="00765283" w:rsidRPr="00AB0951" w:rsidRDefault="00765283" w:rsidP="009D28B3">
      <w:pPr>
        <w:ind w:left="5529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765283" w:rsidRPr="00981E44" w:rsidRDefault="00765283" w:rsidP="009D28B3">
      <w:pPr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765283" w:rsidRPr="00981E44" w:rsidRDefault="00765283" w:rsidP="009D28B3">
      <w:pPr>
        <w:ind w:left="5529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Шуньгского сельского поселения</w:t>
      </w:r>
    </w:p>
    <w:p w:rsidR="00765283" w:rsidRPr="00981E44" w:rsidRDefault="00765283" w:rsidP="009D28B3">
      <w:pPr>
        <w:tabs>
          <w:tab w:val="left" w:pos="6521"/>
        </w:tabs>
        <w:ind w:left="5529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о</w:t>
      </w:r>
      <w:r w:rsidRPr="00027114">
        <w:rPr>
          <w:w w:val="80"/>
          <w:sz w:val="28"/>
          <w:szCs w:val="28"/>
        </w:rPr>
        <w:t>т 14 июня 2022 года</w:t>
      </w:r>
      <w:r w:rsidRPr="00981E44">
        <w:rPr>
          <w:w w:val="80"/>
          <w:sz w:val="28"/>
          <w:szCs w:val="28"/>
        </w:rPr>
        <w:t xml:space="preserve">  № </w:t>
      </w:r>
      <w:r>
        <w:rPr>
          <w:w w:val="80"/>
          <w:sz w:val="28"/>
          <w:szCs w:val="28"/>
        </w:rPr>
        <w:t>138</w:t>
      </w:r>
      <w:r w:rsidRPr="00981E44">
        <w:rPr>
          <w:w w:val="80"/>
          <w:sz w:val="28"/>
          <w:szCs w:val="28"/>
        </w:rPr>
        <w:t xml:space="preserve">  </w:t>
      </w:r>
    </w:p>
    <w:p w:rsidR="00765283" w:rsidRDefault="00765283" w:rsidP="004E130A">
      <w:pPr>
        <w:ind w:left="4536"/>
        <w:jc w:val="right"/>
        <w:rPr>
          <w:w w:val="80"/>
          <w:sz w:val="28"/>
          <w:szCs w:val="28"/>
        </w:rPr>
      </w:pPr>
    </w:p>
    <w:p w:rsidR="00765283" w:rsidRPr="00E32D98" w:rsidRDefault="00765283" w:rsidP="004E130A">
      <w:pPr>
        <w:ind w:left="4536"/>
        <w:jc w:val="right"/>
        <w:rPr>
          <w:w w:val="80"/>
          <w:sz w:val="28"/>
          <w:szCs w:val="28"/>
        </w:rPr>
      </w:pPr>
    </w:p>
    <w:p w:rsidR="00765283" w:rsidRPr="00E32D98" w:rsidRDefault="00765283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765283" w:rsidRDefault="00765283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765283" w:rsidRPr="00E32D98" w:rsidRDefault="00765283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r>
        <w:rPr>
          <w:b/>
          <w:color w:val="000000"/>
          <w:spacing w:val="2"/>
          <w:w w:val="80"/>
          <w:sz w:val="28"/>
          <w:szCs w:val="28"/>
        </w:rPr>
        <w:t xml:space="preserve">Шуньгском сельском </w:t>
      </w:r>
      <w:r w:rsidRPr="004E130A">
        <w:rPr>
          <w:b/>
          <w:color w:val="000000"/>
          <w:spacing w:val="2"/>
          <w:w w:val="80"/>
          <w:sz w:val="28"/>
          <w:szCs w:val="28"/>
        </w:rPr>
        <w:t xml:space="preserve"> поселении</w:t>
      </w:r>
    </w:p>
    <w:p w:rsidR="00765283" w:rsidRPr="003262EF" w:rsidRDefault="00765283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946"/>
        <w:gridCol w:w="2268"/>
      </w:tblGrid>
      <w:tr w:rsidR="00765283" w:rsidRPr="00E32D98" w:rsidTr="004E130A">
        <w:trPr>
          <w:trHeight w:val="341"/>
        </w:trPr>
        <w:tc>
          <w:tcPr>
            <w:tcW w:w="629" w:type="dxa"/>
            <w:vAlign w:val="center"/>
          </w:tcPr>
          <w:p w:rsidR="00765283" w:rsidRPr="00E32D98" w:rsidRDefault="0076528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vAlign w:val="center"/>
          </w:tcPr>
          <w:p w:rsidR="00765283" w:rsidRPr="00E32D98" w:rsidRDefault="0076528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vAlign w:val="center"/>
          </w:tcPr>
          <w:p w:rsidR="00765283" w:rsidRPr="00E32D98" w:rsidRDefault="0076528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765283" w:rsidRPr="003262EF" w:rsidTr="004E130A">
        <w:trPr>
          <w:trHeight w:val="733"/>
        </w:trPr>
        <w:tc>
          <w:tcPr>
            <w:tcW w:w="629" w:type="dxa"/>
          </w:tcPr>
          <w:p w:rsidR="00765283" w:rsidRPr="003262EF" w:rsidRDefault="0076528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:rsidR="00765283" w:rsidRPr="003262EF" w:rsidRDefault="00765283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</w:tcPr>
          <w:p w:rsidR="00765283" w:rsidRPr="003262EF" w:rsidRDefault="00765283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765283" w:rsidRPr="003262EF" w:rsidTr="004E130A">
        <w:trPr>
          <w:trHeight w:val="760"/>
        </w:trPr>
        <w:tc>
          <w:tcPr>
            <w:tcW w:w="629" w:type="dxa"/>
          </w:tcPr>
          <w:p w:rsidR="00765283" w:rsidRPr="003262EF" w:rsidRDefault="00765283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:rsidR="00765283" w:rsidRPr="003262EF" w:rsidRDefault="00765283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</w:tcPr>
          <w:p w:rsidR="00765283" w:rsidRPr="003262EF" w:rsidRDefault="00765283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765283" w:rsidRPr="003262EF" w:rsidRDefault="00765283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765283" w:rsidRDefault="00765283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765283" w:rsidRPr="00E32D98" w:rsidRDefault="00765283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765283" w:rsidRDefault="00765283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:rsidR="00765283" w:rsidRPr="00E32D98" w:rsidRDefault="00765283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r>
        <w:rPr>
          <w:b/>
          <w:color w:val="000000"/>
          <w:spacing w:val="2"/>
          <w:w w:val="80"/>
          <w:sz w:val="28"/>
          <w:szCs w:val="28"/>
        </w:rPr>
        <w:t>Шуньгском сельс</w:t>
      </w:r>
      <w:r w:rsidRPr="004E130A">
        <w:rPr>
          <w:b/>
          <w:color w:val="000000"/>
          <w:spacing w:val="2"/>
          <w:w w:val="80"/>
          <w:sz w:val="28"/>
          <w:szCs w:val="28"/>
        </w:rPr>
        <w:t>ком поселении</w:t>
      </w:r>
    </w:p>
    <w:p w:rsidR="00765283" w:rsidRPr="00E32D98" w:rsidRDefault="00765283" w:rsidP="004E130A">
      <w:pPr>
        <w:pStyle w:val="BodyText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765283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2. Общее количество контрольных мероприятий с взаимодействием, проведенных за отчетный период.</w:t>
      </w:r>
    </w:p>
    <w:p w:rsidR="00765283" w:rsidRPr="00CF7FD2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 с взаимодействием по каждому виду контрольных мероприятий, проведенных за отчетный период.</w:t>
      </w: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765283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765283" w:rsidRPr="003262EF" w:rsidRDefault="00765283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765283" w:rsidRDefault="00765283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765283" w:rsidRDefault="00765283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765283" w:rsidSect="00545793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83" w:rsidRDefault="00765283" w:rsidP="00777414">
      <w:r>
        <w:separator/>
      </w:r>
    </w:p>
  </w:endnote>
  <w:endnote w:type="continuationSeparator" w:id="0">
    <w:p w:rsidR="00765283" w:rsidRDefault="00765283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83" w:rsidRDefault="00765283" w:rsidP="00777414">
      <w:r>
        <w:separator/>
      </w:r>
    </w:p>
  </w:footnote>
  <w:footnote w:type="continuationSeparator" w:id="0">
    <w:p w:rsidR="00765283" w:rsidRDefault="00765283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83" w:rsidRDefault="00765283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65283" w:rsidRDefault="007652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83" w:rsidRDefault="00765283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65283" w:rsidRDefault="007652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27114"/>
    <w:rsid w:val="000E45E5"/>
    <w:rsid w:val="001276D4"/>
    <w:rsid w:val="00131525"/>
    <w:rsid w:val="001858A0"/>
    <w:rsid w:val="002073D3"/>
    <w:rsid w:val="0022443D"/>
    <w:rsid w:val="00237583"/>
    <w:rsid w:val="002470FE"/>
    <w:rsid w:val="0029231C"/>
    <w:rsid w:val="002F5069"/>
    <w:rsid w:val="00302B7B"/>
    <w:rsid w:val="003262EF"/>
    <w:rsid w:val="0038018D"/>
    <w:rsid w:val="003E6072"/>
    <w:rsid w:val="003E7EF3"/>
    <w:rsid w:val="004A4219"/>
    <w:rsid w:val="004B0D5F"/>
    <w:rsid w:val="004C2F84"/>
    <w:rsid w:val="004E130A"/>
    <w:rsid w:val="00545793"/>
    <w:rsid w:val="005934DE"/>
    <w:rsid w:val="005D44D6"/>
    <w:rsid w:val="00681401"/>
    <w:rsid w:val="00741B53"/>
    <w:rsid w:val="00755330"/>
    <w:rsid w:val="00765283"/>
    <w:rsid w:val="00770B41"/>
    <w:rsid w:val="00777414"/>
    <w:rsid w:val="007D2A96"/>
    <w:rsid w:val="007F292A"/>
    <w:rsid w:val="00845AD6"/>
    <w:rsid w:val="008B3F10"/>
    <w:rsid w:val="008E6E78"/>
    <w:rsid w:val="0090380E"/>
    <w:rsid w:val="00912033"/>
    <w:rsid w:val="00935631"/>
    <w:rsid w:val="00981E44"/>
    <w:rsid w:val="009D07EB"/>
    <w:rsid w:val="009D28B3"/>
    <w:rsid w:val="00A20CBA"/>
    <w:rsid w:val="00A44E0F"/>
    <w:rsid w:val="00A5169D"/>
    <w:rsid w:val="00A7472F"/>
    <w:rsid w:val="00AB0951"/>
    <w:rsid w:val="00C6629D"/>
    <w:rsid w:val="00C8056E"/>
    <w:rsid w:val="00CD1AD8"/>
    <w:rsid w:val="00CF7FD2"/>
    <w:rsid w:val="00D306BC"/>
    <w:rsid w:val="00D355F8"/>
    <w:rsid w:val="00D413CD"/>
    <w:rsid w:val="00E0788B"/>
    <w:rsid w:val="00E32D98"/>
    <w:rsid w:val="00E35478"/>
    <w:rsid w:val="00E410CF"/>
    <w:rsid w:val="00EA3112"/>
    <w:rsid w:val="00EC13BC"/>
    <w:rsid w:val="00F80D4A"/>
    <w:rsid w:val="00F96B96"/>
    <w:rsid w:val="00FA1EB9"/>
    <w:rsid w:val="00FA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130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777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7774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774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7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7741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7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30A"/>
    <w:rPr>
      <w:rFonts w:ascii="NewtonCTT" w:hAnsi="NewtonCT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618</Words>
  <Characters>3523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2021-12-10T17:21:00Z</cp:lastPrinted>
  <dcterms:created xsi:type="dcterms:W3CDTF">2022-04-27T06:56:00Z</dcterms:created>
  <dcterms:modified xsi:type="dcterms:W3CDTF">2022-06-21T05:23:00Z</dcterms:modified>
</cp:coreProperties>
</file>