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F76" w:rsidRPr="00A45547" w:rsidRDefault="003212B3" w:rsidP="00A45547">
      <w:pPr>
        <w:jc w:val="both"/>
        <w:rPr>
          <w:rFonts w:ascii="Times New Roman" w:hAnsi="Times New Roman" w:cs="Times New Roman"/>
          <w:sz w:val="28"/>
          <w:szCs w:val="28"/>
        </w:rPr>
      </w:pPr>
      <w:r w:rsidRPr="00A45547">
        <w:rPr>
          <w:rFonts w:ascii="Times New Roman" w:hAnsi="Times New Roman" w:cs="Times New Roman"/>
          <w:sz w:val="28"/>
          <w:szCs w:val="28"/>
        </w:rPr>
        <w:tab/>
      </w:r>
      <w:r w:rsidR="00ED3F76" w:rsidRPr="00A45547">
        <w:rPr>
          <w:rFonts w:ascii="Times New Roman" w:hAnsi="Times New Roman" w:cs="Times New Roman"/>
          <w:sz w:val="28"/>
          <w:szCs w:val="28"/>
        </w:rPr>
        <w:t>Определение</w:t>
      </w:r>
      <w:r w:rsidR="00A45547" w:rsidRPr="00A45547">
        <w:rPr>
          <w:rFonts w:ascii="Times New Roman" w:hAnsi="Times New Roman" w:cs="Times New Roman"/>
          <w:sz w:val="28"/>
          <w:szCs w:val="28"/>
        </w:rPr>
        <w:t>м</w:t>
      </w:r>
      <w:r w:rsidR="00ED3F76" w:rsidRPr="00A45547">
        <w:rPr>
          <w:rFonts w:ascii="Times New Roman" w:hAnsi="Times New Roman" w:cs="Times New Roman"/>
          <w:sz w:val="28"/>
          <w:szCs w:val="28"/>
        </w:rPr>
        <w:t xml:space="preserve"> Верховного Суда РФ от 16.06.2017 N 307-КГ16-19781 по делу N А42-7562/2015</w:t>
      </w:r>
      <w:r w:rsidR="00A45547" w:rsidRPr="00A45547">
        <w:rPr>
          <w:rFonts w:ascii="Times New Roman" w:hAnsi="Times New Roman" w:cs="Times New Roman"/>
          <w:sz w:val="28"/>
          <w:szCs w:val="28"/>
        </w:rPr>
        <w:t xml:space="preserve"> дано разъяснение, что в</w:t>
      </w:r>
      <w:r w:rsidR="00ED3F76" w:rsidRPr="00A45547">
        <w:rPr>
          <w:rFonts w:ascii="Times New Roman" w:hAnsi="Times New Roman" w:cs="Times New Roman"/>
          <w:bCs/>
          <w:sz w:val="28"/>
          <w:szCs w:val="28"/>
        </w:rPr>
        <w:t>ыходное пособие при расторжении трудового договора по соглашению сторон следует рассматривать как компенсационную выплату при увольнении, на которую распространяется предусмотренное п. 3 ст. 217 НК РФ освобождение от удержания НДФЛ с установленным в качестве меры защиты публичных интересов ограничением в размере 3-кратного (6-кратного для отдельных случаев) заработка</w:t>
      </w:r>
    </w:p>
    <w:p w:rsidR="00ED3F76" w:rsidRPr="00A45547" w:rsidRDefault="00ED3F76" w:rsidP="00ED3F76">
      <w:pPr>
        <w:autoSpaceDE w:val="0"/>
        <w:autoSpaceDN w:val="0"/>
        <w:adjustRightInd w:val="0"/>
        <w:spacing w:after="0" w:line="240" w:lineRule="auto"/>
        <w:ind w:firstLine="540"/>
        <w:jc w:val="both"/>
        <w:rPr>
          <w:rFonts w:ascii="Times New Roman" w:hAnsi="Times New Roman" w:cs="Times New Roman"/>
          <w:sz w:val="28"/>
          <w:szCs w:val="28"/>
        </w:rPr>
      </w:pPr>
      <w:r w:rsidRPr="00A45547">
        <w:rPr>
          <w:rFonts w:ascii="Times New Roman" w:hAnsi="Times New Roman" w:cs="Times New Roman"/>
          <w:sz w:val="28"/>
          <w:szCs w:val="28"/>
        </w:rPr>
        <w:t>Судебная коллегия по экономическим спорам ВС РФ указала, в частности, следующее.</w:t>
      </w:r>
    </w:p>
    <w:p w:rsidR="00645AC6" w:rsidRDefault="00645AC6" w:rsidP="00645AC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основании пункта 3 статьи 217 НК РФ от взимания НДФЛ освобождаются все виды установленных действующим законодательством РФ, законодательными актами субъектов РФ,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РФ).</w:t>
      </w:r>
    </w:p>
    <w:p w:rsidR="00645AC6" w:rsidRDefault="00645AC6" w:rsidP="00645AC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Выходные пособия как отдельный вид компенсаций в сфере труда установлены законодательством (статья 178 ТК РФ) и выполняют социальную функцию защиты работника от временной потери дохода при увольнении.</w:t>
      </w:r>
    </w:p>
    <w:p w:rsidR="00645AC6" w:rsidRDefault="00645AC6" w:rsidP="00645AC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Допуская возможность конкретизации случаев выплаты выходных пособий и их размеров в договорном порядке, законодатель не преследовал цель дифференциации прав и объема гарантий работникам в зависимости от основания их увольнения и оснований выплаты выходного пособия, а напротив, исходил из необходимости защиты работников от временной потери дохода в возможно большем числе случаев, что включает в себя освобождение рассматриваемого вида компенсационных выплат от налогообложения.</w:t>
      </w:r>
    </w:p>
    <w:p w:rsidR="00645AC6" w:rsidRDefault="00645AC6" w:rsidP="00645AC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Необходимость указанной защиты не исключается при использовании основания прекращения трудовых отношений, предусмотренного статьей 78 ТК РФ (расторжение трудового договора по соглашению сторон), предполагающего волеизъявление работодателя на увольнение работника и, как правило, оставляющего за увольняемым лицом ограниченную возможность согласования условий расторжения трудового договора.</w:t>
      </w:r>
    </w:p>
    <w:p w:rsidR="00645AC6" w:rsidRDefault="00645AC6" w:rsidP="00645AC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Следовательно, определение конкретных случаев выплаты выходного пособия в результате соглашения, достигнутого между работодателем и работником, не исключает эти компенсационные выплаты из сферы законодательного установления и не означает, что на данные компенсации не распространяется освобождение от налогообложения, предусмотренное пунктом 3 статьи 217 НК РФ для такой категории налогоплательщиков, как увольняемые работники.</w:t>
      </w:r>
    </w:p>
    <w:p w:rsidR="00645AC6" w:rsidRDefault="00645AC6" w:rsidP="00645AC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мерой защиты публичных интересов при предоставлении работнику выходного пособия в размере, который не совместим с компенсационным характером данной выплаты, является установленное в пункте 3 статьи 217 НК РФ ограничение освобождения данного дохода от налогообложения 3-кратным (6-кратным для отдельных случаев) заработком.</w:t>
      </w:r>
    </w:p>
    <w:p w:rsidR="00ED3F76" w:rsidRDefault="00645AC6" w:rsidP="00645AC6">
      <w:pPr>
        <w:autoSpaceDE w:val="0"/>
        <w:autoSpaceDN w:val="0"/>
        <w:adjustRightInd w:val="0"/>
        <w:spacing w:after="0" w:line="240" w:lineRule="auto"/>
        <w:ind w:firstLine="540"/>
        <w:jc w:val="both"/>
      </w:pPr>
      <w:r>
        <w:rPr>
          <w:rFonts w:ascii="Times New Roman" w:hAnsi="Times New Roman" w:cs="Times New Roman"/>
          <w:sz w:val="28"/>
          <w:szCs w:val="28"/>
        </w:rPr>
        <w:t>Таким образом, поскольку выплаченные компенсации связаны с увольнением работников, установлены трудовым законодательством и определены в договорном порядке в соответствии со статьей 178 ТК РФ, Судебная коллегия пришла к выводу о том, что при выплате этого вида дохода работникам правомерно не удерживался налог на основании пункта 3 статьи 217 НК РФ.</w:t>
      </w:r>
      <w:bookmarkStart w:id="0" w:name="_GoBack"/>
      <w:bookmarkEnd w:id="0"/>
    </w:p>
    <w:p w:rsidR="00ED3F76" w:rsidRDefault="00ED3F76"/>
    <w:sectPr w:rsidR="00ED3F76" w:rsidSect="00645AC6">
      <w:pgSz w:w="11906" w:h="16838"/>
      <w:pgMar w:top="851" w:right="566" w:bottom="567"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F76"/>
    <w:rsid w:val="003212B3"/>
    <w:rsid w:val="00645AC6"/>
    <w:rsid w:val="00645EBA"/>
    <w:rsid w:val="007B43F4"/>
    <w:rsid w:val="00A45547"/>
    <w:rsid w:val="00E22B49"/>
    <w:rsid w:val="00ED3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5DF01-FBF0-44E1-8FDF-7B5A172D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457</Words>
  <Characters>2608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r.med.u01</dc:creator>
  <cp:keywords/>
  <dc:description/>
  <cp:lastModifiedBy>r.med.u01</cp:lastModifiedBy>
  <cp:revision>2</cp:revision>
  <dcterms:created xsi:type="dcterms:W3CDTF">2017-06-29T08:39:00Z</dcterms:created>
  <dcterms:modified xsi:type="dcterms:W3CDTF">2017-06-29T09:21:00Z</dcterms:modified>
</cp:coreProperties>
</file>